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52" w:rsidRPr="0083387B" w:rsidRDefault="005A0B6A" w:rsidP="00A94946">
      <w:pPr>
        <w:spacing w:after="0" w:line="240" w:lineRule="auto"/>
        <w:rPr>
          <w:rFonts w:ascii="Arial" w:hAnsi="Arial" w:cs="Arial"/>
          <w:sz w:val="36"/>
          <w:szCs w:val="36"/>
          <w:lang w:eastAsia="de-DE"/>
        </w:rPr>
      </w:pPr>
      <w:r w:rsidRPr="005A0B6A">
        <w:rPr>
          <w:rFonts w:ascii="Arial" w:hAnsi="Arial" w:cs="Arial"/>
          <w:sz w:val="36"/>
          <w:szCs w:val="36"/>
          <w:lang w:eastAsia="de-DE"/>
        </w:rPr>
        <w:t>Communiqué de presse</w:t>
      </w:r>
      <w:bookmarkStart w:id="0" w:name="_GoBack"/>
      <w:bookmarkEnd w:id="0"/>
    </w:p>
    <w:p w:rsidR="00174E1E" w:rsidRPr="0083387B" w:rsidRDefault="00174E1E" w:rsidP="009B6AA6">
      <w:pPr>
        <w:spacing w:after="0" w:line="360" w:lineRule="auto"/>
        <w:ind w:right="71"/>
        <w:jc w:val="right"/>
        <w:rPr>
          <w:rFonts w:ascii="Arial" w:hAnsi="Arial" w:cs="Arial"/>
          <w:sz w:val="20"/>
          <w:szCs w:val="20"/>
          <w:lang w:eastAsia="de-DE"/>
        </w:rPr>
      </w:pPr>
    </w:p>
    <w:p w:rsidR="00A26D52" w:rsidRPr="0083387B" w:rsidRDefault="00174E1E" w:rsidP="009B6AA6">
      <w:pPr>
        <w:spacing w:after="0" w:line="360" w:lineRule="auto"/>
        <w:ind w:right="71"/>
        <w:jc w:val="right"/>
        <w:rPr>
          <w:rFonts w:ascii="Arial" w:hAnsi="Arial" w:cs="Arial"/>
          <w:sz w:val="20"/>
          <w:szCs w:val="20"/>
          <w:lang w:eastAsia="de-DE"/>
        </w:rPr>
      </w:pPr>
      <w:r w:rsidRPr="0083387B">
        <w:rPr>
          <w:rFonts w:ascii="Arial" w:hAnsi="Arial" w:cs="Arial"/>
          <w:sz w:val="20"/>
          <w:szCs w:val="20"/>
          <w:lang w:eastAsia="de-DE"/>
        </w:rPr>
        <w:t>I</w:t>
      </w:r>
      <w:r w:rsidR="00A26D52" w:rsidRPr="0083387B">
        <w:rPr>
          <w:rFonts w:ascii="Arial" w:hAnsi="Arial" w:cs="Arial"/>
          <w:sz w:val="20"/>
          <w:szCs w:val="20"/>
          <w:lang w:eastAsia="de-DE"/>
        </w:rPr>
        <w:t xml:space="preserve">ngolstadt </w:t>
      </w:r>
      <w:proofErr w:type="spellStart"/>
      <w:r w:rsidR="0083387B" w:rsidRPr="0083387B">
        <w:rPr>
          <w:rFonts w:ascii="Arial" w:hAnsi="Arial" w:cs="Arial"/>
          <w:sz w:val="20"/>
          <w:szCs w:val="20"/>
          <w:lang w:eastAsia="de-DE"/>
        </w:rPr>
        <w:t>Octobre</w:t>
      </w:r>
      <w:proofErr w:type="spellEnd"/>
      <w:r w:rsidRPr="0083387B">
        <w:rPr>
          <w:rFonts w:ascii="Arial" w:hAnsi="Arial" w:cs="Arial"/>
          <w:sz w:val="20"/>
          <w:szCs w:val="20"/>
          <w:lang w:eastAsia="de-DE"/>
        </w:rPr>
        <w:t xml:space="preserve"> 2020</w:t>
      </w:r>
    </w:p>
    <w:p w:rsidR="00A26D52" w:rsidRPr="0083387B" w:rsidRDefault="00A26D52" w:rsidP="00A94946">
      <w:pPr>
        <w:spacing w:after="0" w:line="240" w:lineRule="auto"/>
        <w:rPr>
          <w:rFonts w:cs="Times New Roman"/>
        </w:rPr>
      </w:pPr>
    </w:p>
    <w:p w:rsidR="00A26D52" w:rsidRPr="0083387B" w:rsidRDefault="00A26D52" w:rsidP="00A94946">
      <w:pPr>
        <w:spacing w:after="0" w:line="360" w:lineRule="auto"/>
        <w:rPr>
          <w:rFonts w:ascii="Arial" w:hAnsi="Arial" w:cs="Arial"/>
          <w:b/>
          <w:bCs/>
          <w:lang w:eastAsia="de-DE"/>
        </w:rPr>
      </w:pPr>
    </w:p>
    <w:p w:rsidR="00A26D52" w:rsidRPr="0083387B" w:rsidRDefault="00A26D52" w:rsidP="00A94946">
      <w:pPr>
        <w:spacing w:after="0" w:line="360" w:lineRule="auto"/>
        <w:rPr>
          <w:rFonts w:ascii="Arial" w:hAnsi="Arial" w:cs="Arial"/>
          <w:b/>
          <w:bCs/>
          <w:lang w:eastAsia="de-DE"/>
        </w:rPr>
      </w:pPr>
    </w:p>
    <w:p w:rsidR="0083387B" w:rsidRDefault="0083387B" w:rsidP="009471E8">
      <w:pPr>
        <w:spacing w:after="0" w:line="360" w:lineRule="auto"/>
        <w:ind w:right="2267"/>
        <w:jc w:val="both"/>
        <w:rPr>
          <w:rFonts w:ascii="Arial" w:hAnsi="Arial" w:cs="Arial"/>
          <w:sz w:val="32"/>
          <w:szCs w:val="32"/>
          <w:lang w:eastAsia="de-DE"/>
        </w:rPr>
      </w:pPr>
      <w:r w:rsidRPr="0083387B">
        <w:rPr>
          <w:rFonts w:ascii="Arial" w:hAnsi="Arial" w:cs="Arial"/>
          <w:sz w:val="32"/>
          <w:szCs w:val="32"/>
          <w:lang w:eastAsia="de-DE"/>
        </w:rPr>
        <w:t xml:space="preserve">Bloc de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vannes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compact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pour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le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refroidissement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et la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lubrification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de la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garniture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d'arbre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des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pompes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sz w:val="32"/>
          <w:szCs w:val="32"/>
          <w:lang w:eastAsia="de-DE"/>
        </w:rPr>
        <w:t>centrifuges</w:t>
      </w:r>
      <w:proofErr w:type="spellEnd"/>
      <w:r w:rsidRPr="0083387B">
        <w:rPr>
          <w:rFonts w:ascii="Arial" w:hAnsi="Arial" w:cs="Arial"/>
          <w:sz w:val="32"/>
          <w:szCs w:val="32"/>
          <w:lang w:eastAsia="de-DE"/>
        </w:rPr>
        <w:t xml:space="preserve"> </w:t>
      </w:r>
    </w:p>
    <w:p w:rsid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  <w:r w:rsidRPr="0083387B">
        <w:rPr>
          <w:rFonts w:ascii="Arial" w:hAnsi="Arial" w:cs="Arial"/>
          <w:lang w:eastAsia="de-DE"/>
        </w:rPr>
        <w:t xml:space="preserve">Le </w:t>
      </w:r>
      <w:proofErr w:type="spellStart"/>
      <w:r w:rsidRPr="0083387B">
        <w:rPr>
          <w:rFonts w:ascii="Arial" w:hAnsi="Arial" w:cs="Arial"/>
          <w:lang w:eastAsia="de-DE"/>
        </w:rPr>
        <w:t>refroidissement</w:t>
      </w:r>
      <w:proofErr w:type="spellEnd"/>
      <w:r w:rsidRPr="0083387B">
        <w:rPr>
          <w:rFonts w:ascii="Arial" w:hAnsi="Arial" w:cs="Arial"/>
          <w:lang w:eastAsia="de-DE"/>
        </w:rPr>
        <w:t xml:space="preserve"> et la </w:t>
      </w:r>
      <w:proofErr w:type="spellStart"/>
      <w:r w:rsidRPr="0083387B">
        <w:rPr>
          <w:rFonts w:ascii="Arial" w:hAnsi="Arial" w:cs="Arial"/>
          <w:lang w:eastAsia="de-DE"/>
        </w:rPr>
        <w:t>lubrification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sont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essentiels</w:t>
      </w:r>
      <w:proofErr w:type="spellEnd"/>
      <w:r w:rsidRPr="0083387B">
        <w:rPr>
          <w:rFonts w:ascii="Arial" w:hAnsi="Arial" w:cs="Arial"/>
          <w:lang w:eastAsia="de-DE"/>
        </w:rPr>
        <w:t xml:space="preserve"> au </w:t>
      </w:r>
      <w:proofErr w:type="spellStart"/>
      <w:r w:rsidRPr="0083387B">
        <w:rPr>
          <w:rFonts w:ascii="Arial" w:hAnsi="Arial" w:cs="Arial"/>
          <w:lang w:eastAsia="de-DE"/>
        </w:rPr>
        <w:t>bon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fonctionnement</w:t>
      </w:r>
      <w:proofErr w:type="spellEnd"/>
      <w:r w:rsidRPr="0083387B">
        <w:rPr>
          <w:rFonts w:ascii="Arial" w:hAnsi="Arial" w:cs="Arial"/>
          <w:lang w:eastAsia="de-DE"/>
        </w:rPr>
        <w:t xml:space="preserve"> des </w:t>
      </w:r>
      <w:proofErr w:type="spellStart"/>
      <w:r w:rsidRPr="0083387B">
        <w:rPr>
          <w:rFonts w:ascii="Arial" w:hAnsi="Arial" w:cs="Arial"/>
          <w:lang w:eastAsia="de-DE"/>
        </w:rPr>
        <w:t>pompes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centrifuges</w:t>
      </w:r>
      <w:proofErr w:type="spellEnd"/>
      <w:r w:rsidRPr="0083387B">
        <w:rPr>
          <w:rFonts w:ascii="Arial" w:hAnsi="Arial" w:cs="Arial"/>
          <w:lang w:eastAsia="de-DE"/>
        </w:rPr>
        <w:t xml:space="preserve">, en </w:t>
      </w:r>
      <w:proofErr w:type="spellStart"/>
      <w:r w:rsidRPr="0083387B">
        <w:rPr>
          <w:rFonts w:ascii="Arial" w:hAnsi="Arial" w:cs="Arial"/>
          <w:lang w:eastAsia="de-DE"/>
        </w:rPr>
        <w:t>toute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fiabilité</w:t>
      </w:r>
      <w:proofErr w:type="spellEnd"/>
      <w:r w:rsidRPr="0083387B">
        <w:rPr>
          <w:rFonts w:ascii="Arial" w:hAnsi="Arial" w:cs="Arial"/>
          <w:lang w:eastAsia="de-DE"/>
        </w:rPr>
        <w:t xml:space="preserve"> et </w:t>
      </w:r>
      <w:proofErr w:type="spellStart"/>
      <w:r w:rsidRPr="0083387B">
        <w:rPr>
          <w:rFonts w:ascii="Arial" w:hAnsi="Arial" w:cs="Arial"/>
          <w:lang w:eastAsia="de-DE"/>
        </w:rPr>
        <w:t>pour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assurer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une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longue</w:t>
      </w:r>
      <w:proofErr w:type="spellEnd"/>
      <w:r w:rsidRPr="0083387B">
        <w:rPr>
          <w:rFonts w:ascii="Arial" w:hAnsi="Arial" w:cs="Arial"/>
          <w:lang w:eastAsia="de-DE"/>
        </w:rPr>
        <w:t xml:space="preserve"> </w:t>
      </w:r>
      <w:proofErr w:type="spellStart"/>
      <w:r w:rsidRPr="0083387B">
        <w:rPr>
          <w:rFonts w:ascii="Arial" w:hAnsi="Arial" w:cs="Arial"/>
          <w:lang w:eastAsia="de-DE"/>
        </w:rPr>
        <w:t>durée</w:t>
      </w:r>
      <w:proofErr w:type="spellEnd"/>
      <w:r w:rsidRPr="0083387B">
        <w:rPr>
          <w:rFonts w:ascii="Arial" w:hAnsi="Arial" w:cs="Arial"/>
          <w:lang w:eastAsia="de-DE"/>
        </w:rPr>
        <w:t xml:space="preserve"> de </w:t>
      </w:r>
      <w:proofErr w:type="spellStart"/>
      <w:r w:rsidRPr="0083387B">
        <w:rPr>
          <w:rFonts w:ascii="Arial" w:hAnsi="Arial" w:cs="Arial"/>
          <w:lang w:eastAsia="de-DE"/>
        </w:rPr>
        <w:t>vie</w:t>
      </w:r>
      <w:proofErr w:type="spellEnd"/>
      <w:r w:rsidRPr="0083387B">
        <w:rPr>
          <w:rFonts w:ascii="Arial" w:hAnsi="Arial" w:cs="Arial"/>
          <w:lang w:eastAsia="de-DE"/>
        </w:rPr>
        <w:t xml:space="preserve">. </w:t>
      </w:r>
      <w:r w:rsidRPr="0083387B">
        <w:rPr>
          <w:rFonts w:ascii="Arial" w:hAnsi="Arial" w:cs="Arial"/>
          <w:lang w:val="en-GB" w:eastAsia="de-DE"/>
        </w:rPr>
        <w:t xml:space="preserve">Les solutions </w:t>
      </w:r>
      <w:proofErr w:type="spellStart"/>
      <w:r w:rsidRPr="0083387B">
        <w:rPr>
          <w:rFonts w:ascii="Arial" w:hAnsi="Arial" w:cs="Arial"/>
          <w:lang w:val="en-GB" w:eastAsia="de-DE"/>
        </w:rPr>
        <w:t>couramment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utilisées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à </w:t>
      </w:r>
      <w:proofErr w:type="spellStart"/>
      <w:r w:rsidRPr="0083387B">
        <w:rPr>
          <w:rFonts w:ascii="Arial" w:hAnsi="Arial" w:cs="Arial"/>
          <w:lang w:val="en-GB" w:eastAsia="de-DE"/>
        </w:rPr>
        <w:t>cette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fin </w:t>
      </w:r>
      <w:proofErr w:type="spellStart"/>
      <w:r w:rsidRPr="0083387B">
        <w:rPr>
          <w:rFonts w:ascii="Arial" w:hAnsi="Arial" w:cs="Arial"/>
          <w:lang w:val="en-GB" w:eastAsia="de-DE"/>
        </w:rPr>
        <w:t>dans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l'industrie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sont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souvent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des constructions </w:t>
      </w:r>
      <w:proofErr w:type="spellStart"/>
      <w:r w:rsidRPr="0083387B">
        <w:rPr>
          <w:rFonts w:ascii="Arial" w:hAnsi="Arial" w:cs="Arial"/>
          <w:lang w:val="en-GB" w:eastAsia="de-DE"/>
        </w:rPr>
        <w:t>composées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nombreux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éléments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différents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</w:t>
      </w:r>
      <w:proofErr w:type="spellStart"/>
      <w:r w:rsidRPr="0083387B">
        <w:rPr>
          <w:rFonts w:ascii="Arial" w:hAnsi="Arial" w:cs="Arial"/>
          <w:lang w:val="en-GB" w:eastAsia="de-DE"/>
        </w:rPr>
        <w:t>Souvent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</w:t>
      </w:r>
      <w:proofErr w:type="spellStart"/>
      <w:proofErr w:type="gramStart"/>
      <w:r w:rsidRPr="0083387B">
        <w:rPr>
          <w:rFonts w:ascii="Arial" w:hAnsi="Arial" w:cs="Arial"/>
          <w:lang w:val="en-GB" w:eastAsia="de-DE"/>
        </w:rPr>
        <w:t>ils</w:t>
      </w:r>
      <w:proofErr w:type="spellEnd"/>
      <w:proofErr w:type="gramEnd"/>
      <w:r w:rsidRPr="0083387B">
        <w:rPr>
          <w:rFonts w:ascii="Arial" w:hAnsi="Arial" w:cs="Arial"/>
          <w:lang w:val="en-GB" w:eastAsia="de-DE"/>
        </w:rPr>
        <w:t xml:space="preserve"> ne </w:t>
      </w:r>
      <w:proofErr w:type="spellStart"/>
      <w:r w:rsidRPr="0083387B">
        <w:rPr>
          <w:rFonts w:ascii="Arial" w:hAnsi="Arial" w:cs="Arial"/>
          <w:lang w:val="en-GB" w:eastAsia="de-DE"/>
        </w:rPr>
        <w:t>sont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pas </w:t>
      </w:r>
      <w:proofErr w:type="spellStart"/>
      <w:r w:rsidRPr="0083387B">
        <w:rPr>
          <w:rFonts w:ascii="Arial" w:hAnsi="Arial" w:cs="Arial"/>
          <w:lang w:val="en-GB" w:eastAsia="de-DE"/>
        </w:rPr>
        <w:t>exactement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adaptés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les </w:t>
      </w:r>
      <w:proofErr w:type="spellStart"/>
      <w:r w:rsidRPr="0083387B">
        <w:rPr>
          <w:rFonts w:ascii="Arial" w:hAnsi="Arial" w:cs="Arial"/>
          <w:lang w:val="en-GB" w:eastAsia="de-DE"/>
        </w:rPr>
        <w:t>uns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aux </w:t>
      </w:r>
      <w:proofErr w:type="spellStart"/>
      <w:r w:rsidRPr="0083387B">
        <w:rPr>
          <w:rFonts w:ascii="Arial" w:hAnsi="Arial" w:cs="Arial"/>
          <w:lang w:val="en-GB" w:eastAsia="de-DE"/>
        </w:rPr>
        <w:t>autres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et </w:t>
      </w:r>
      <w:proofErr w:type="spellStart"/>
      <w:r w:rsidRPr="0083387B">
        <w:rPr>
          <w:rFonts w:ascii="Arial" w:hAnsi="Arial" w:cs="Arial"/>
          <w:lang w:val="en-GB" w:eastAsia="de-DE"/>
        </w:rPr>
        <w:t>nécessitent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un </w:t>
      </w:r>
      <w:proofErr w:type="spellStart"/>
      <w:r w:rsidRPr="0083387B">
        <w:rPr>
          <w:rFonts w:ascii="Arial" w:hAnsi="Arial" w:cs="Arial"/>
          <w:lang w:val="en-GB" w:eastAsia="de-DE"/>
        </w:rPr>
        <w:t>espace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plus important avec des </w:t>
      </w:r>
      <w:proofErr w:type="spellStart"/>
      <w:r w:rsidRPr="0083387B">
        <w:rPr>
          <w:rFonts w:ascii="Arial" w:hAnsi="Arial" w:cs="Arial"/>
          <w:lang w:val="en-GB" w:eastAsia="de-DE"/>
        </w:rPr>
        <w:t>coûts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d'installation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élevés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</w:t>
      </w:r>
    </w:p>
    <w:p w:rsidR="0083387B" w:rsidRP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</w:p>
    <w:p w:rsid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  <w:r w:rsidRPr="0083387B">
        <w:rPr>
          <w:rFonts w:ascii="Arial" w:hAnsi="Arial" w:cs="Arial"/>
          <w:lang w:val="en-GB" w:eastAsia="de-DE"/>
        </w:rPr>
        <w:t xml:space="preserve">Schubert &amp; </w:t>
      </w:r>
      <w:proofErr w:type="spellStart"/>
      <w:r w:rsidRPr="0083387B">
        <w:rPr>
          <w:rFonts w:ascii="Arial" w:hAnsi="Arial" w:cs="Arial"/>
          <w:lang w:val="en-GB" w:eastAsia="de-DE"/>
        </w:rPr>
        <w:t>Salzer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Control Systems a </w:t>
      </w:r>
      <w:proofErr w:type="spellStart"/>
      <w:r w:rsidRPr="0083387B">
        <w:rPr>
          <w:rFonts w:ascii="Arial" w:hAnsi="Arial" w:cs="Arial"/>
          <w:lang w:val="en-GB" w:eastAsia="de-DE"/>
        </w:rPr>
        <w:t>maintenant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développé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une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solution </w:t>
      </w:r>
      <w:proofErr w:type="spellStart"/>
      <w:r w:rsidRPr="0083387B">
        <w:rPr>
          <w:rFonts w:ascii="Arial" w:hAnsi="Arial" w:cs="Arial"/>
          <w:lang w:val="en-GB" w:eastAsia="de-DE"/>
        </w:rPr>
        <w:t>prête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à </w:t>
      </w:r>
      <w:proofErr w:type="spellStart"/>
      <w:r w:rsidRPr="0083387B">
        <w:rPr>
          <w:rFonts w:ascii="Arial" w:hAnsi="Arial" w:cs="Arial"/>
          <w:lang w:val="en-GB" w:eastAsia="de-DE"/>
        </w:rPr>
        <w:t>l'emploi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pour </w:t>
      </w:r>
      <w:proofErr w:type="spellStart"/>
      <w:r w:rsidRPr="0083387B">
        <w:rPr>
          <w:rFonts w:ascii="Arial" w:hAnsi="Arial" w:cs="Arial"/>
          <w:lang w:val="en-GB" w:eastAsia="de-DE"/>
        </w:rPr>
        <w:t>cette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application </w:t>
      </w:r>
      <w:proofErr w:type="spellStart"/>
      <w:r w:rsidRPr="0083387B">
        <w:rPr>
          <w:rFonts w:ascii="Arial" w:hAnsi="Arial" w:cs="Arial"/>
          <w:lang w:val="en-GB" w:eastAsia="de-DE"/>
        </w:rPr>
        <w:t>spécifique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Le </w:t>
      </w:r>
      <w:proofErr w:type="spellStart"/>
      <w:r w:rsidRPr="0083387B">
        <w:rPr>
          <w:rFonts w:ascii="Arial" w:hAnsi="Arial" w:cs="Arial"/>
          <w:lang w:val="en-GB" w:eastAsia="de-DE"/>
        </w:rPr>
        <w:t>refroidissement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gramStart"/>
      <w:r w:rsidRPr="0083387B">
        <w:rPr>
          <w:rFonts w:ascii="Arial" w:hAnsi="Arial" w:cs="Arial"/>
          <w:lang w:val="en-GB" w:eastAsia="de-DE"/>
        </w:rPr>
        <w:t>et</w:t>
      </w:r>
      <w:proofErr w:type="gramEnd"/>
      <w:r w:rsidRPr="0083387B">
        <w:rPr>
          <w:rFonts w:ascii="Arial" w:hAnsi="Arial" w:cs="Arial"/>
          <w:lang w:val="en-GB" w:eastAsia="de-DE"/>
        </w:rPr>
        <w:t xml:space="preserve"> la </w:t>
      </w:r>
      <w:proofErr w:type="spellStart"/>
      <w:r w:rsidRPr="0083387B">
        <w:rPr>
          <w:rFonts w:ascii="Arial" w:hAnsi="Arial" w:cs="Arial"/>
          <w:lang w:val="en-GB" w:eastAsia="de-DE"/>
        </w:rPr>
        <w:t>lubrification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des garniture </w:t>
      </w:r>
      <w:proofErr w:type="spellStart"/>
      <w:r w:rsidRPr="0083387B">
        <w:rPr>
          <w:rFonts w:ascii="Arial" w:hAnsi="Arial" w:cs="Arial"/>
          <w:lang w:val="en-GB" w:eastAsia="de-DE"/>
        </w:rPr>
        <w:t>d'arbre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des </w:t>
      </w:r>
      <w:proofErr w:type="spellStart"/>
      <w:r w:rsidRPr="0083387B">
        <w:rPr>
          <w:rFonts w:ascii="Arial" w:hAnsi="Arial" w:cs="Arial"/>
          <w:lang w:val="en-GB" w:eastAsia="de-DE"/>
        </w:rPr>
        <w:t>pompes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centrifuges </w:t>
      </w:r>
      <w:proofErr w:type="spellStart"/>
      <w:r w:rsidRPr="0083387B">
        <w:rPr>
          <w:rFonts w:ascii="Arial" w:hAnsi="Arial" w:cs="Arial"/>
          <w:lang w:val="en-GB" w:eastAsia="de-DE"/>
        </w:rPr>
        <w:t>sont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commandés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par les </w:t>
      </w:r>
      <w:proofErr w:type="spellStart"/>
      <w:r w:rsidRPr="0083387B">
        <w:rPr>
          <w:rFonts w:ascii="Arial" w:hAnsi="Arial" w:cs="Arial"/>
          <w:lang w:val="en-GB" w:eastAsia="de-DE"/>
        </w:rPr>
        <w:t>fluides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service via un bloc de </w:t>
      </w:r>
      <w:proofErr w:type="spellStart"/>
      <w:r w:rsidRPr="0083387B">
        <w:rPr>
          <w:rFonts w:ascii="Arial" w:hAnsi="Arial" w:cs="Arial"/>
          <w:lang w:val="en-GB" w:eastAsia="de-DE"/>
        </w:rPr>
        <w:t>vannes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compact. La </w:t>
      </w:r>
      <w:proofErr w:type="spellStart"/>
      <w:r w:rsidRPr="0083387B">
        <w:rPr>
          <w:rFonts w:ascii="Arial" w:hAnsi="Arial" w:cs="Arial"/>
          <w:lang w:val="en-GB" w:eastAsia="de-DE"/>
        </w:rPr>
        <w:t>vanne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d'arrêt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à </w:t>
      </w:r>
      <w:proofErr w:type="spellStart"/>
      <w:r w:rsidRPr="0083387B">
        <w:rPr>
          <w:rFonts w:ascii="Arial" w:hAnsi="Arial" w:cs="Arial"/>
          <w:lang w:val="en-GB" w:eastAsia="de-DE"/>
        </w:rPr>
        <w:t>siège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à angle </w:t>
      </w:r>
      <w:proofErr w:type="spellStart"/>
      <w:r w:rsidRPr="0083387B">
        <w:rPr>
          <w:rFonts w:ascii="Arial" w:hAnsi="Arial" w:cs="Arial"/>
          <w:lang w:val="en-GB" w:eastAsia="de-DE"/>
        </w:rPr>
        <w:t>réglable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7010 </w:t>
      </w:r>
      <w:proofErr w:type="spellStart"/>
      <w:r w:rsidRPr="0083387B">
        <w:rPr>
          <w:rFonts w:ascii="Arial" w:hAnsi="Arial" w:cs="Arial"/>
          <w:lang w:val="en-GB" w:eastAsia="de-DE"/>
        </w:rPr>
        <w:t>intégrée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dans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le bloc </w:t>
      </w:r>
      <w:proofErr w:type="spellStart"/>
      <w:r w:rsidRPr="0083387B">
        <w:rPr>
          <w:rFonts w:ascii="Arial" w:hAnsi="Arial" w:cs="Arial"/>
          <w:lang w:val="en-GB" w:eastAsia="de-DE"/>
        </w:rPr>
        <w:t>permet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régler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un </w:t>
      </w:r>
      <w:proofErr w:type="spellStart"/>
      <w:r w:rsidRPr="0083387B">
        <w:rPr>
          <w:rFonts w:ascii="Arial" w:hAnsi="Arial" w:cs="Arial"/>
          <w:lang w:val="en-GB" w:eastAsia="de-DE"/>
        </w:rPr>
        <w:t>débit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10 à 50 l / h. </w:t>
      </w:r>
    </w:p>
    <w:p w:rsidR="0083387B" w:rsidRP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</w:p>
    <w:p w:rsid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  <w:proofErr w:type="spellStart"/>
      <w:r w:rsidRPr="0083387B">
        <w:rPr>
          <w:rFonts w:ascii="Arial" w:hAnsi="Arial" w:cs="Arial"/>
          <w:lang w:val="en-GB" w:eastAsia="de-DE"/>
        </w:rPr>
        <w:t>Lorsque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la </w:t>
      </w:r>
      <w:proofErr w:type="spellStart"/>
      <w:r w:rsidRPr="0083387B">
        <w:rPr>
          <w:rFonts w:ascii="Arial" w:hAnsi="Arial" w:cs="Arial"/>
          <w:lang w:val="en-GB" w:eastAsia="de-DE"/>
        </w:rPr>
        <w:t>pompe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83387B">
        <w:rPr>
          <w:rFonts w:ascii="Arial" w:hAnsi="Arial" w:cs="Arial"/>
          <w:lang w:val="en-GB" w:eastAsia="de-DE"/>
        </w:rPr>
        <w:t>est</w:t>
      </w:r>
      <w:proofErr w:type="spellEnd"/>
      <w:proofErr w:type="gram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mise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en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marche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la </w:t>
      </w:r>
      <w:proofErr w:type="spellStart"/>
      <w:r w:rsidRPr="0083387B">
        <w:rPr>
          <w:rFonts w:ascii="Arial" w:hAnsi="Arial" w:cs="Arial"/>
          <w:lang w:val="en-GB" w:eastAsia="de-DE"/>
        </w:rPr>
        <w:t>vanne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pneumatique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s'ouvre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simultanément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de </w:t>
      </w:r>
      <w:proofErr w:type="spellStart"/>
      <w:r w:rsidRPr="0083387B">
        <w:rPr>
          <w:rFonts w:ascii="Arial" w:hAnsi="Arial" w:cs="Arial"/>
          <w:lang w:val="en-GB" w:eastAsia="de-DE"/>
        </w:rPr>
        <w:t>sorte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que le </w:t>
      </w:r>
      <w:proofErr w:type="spellStart"/>
      <w:r w:rsidRPr="0083387B">
        <w:rPr>
          <w:rFonts w:ascii="Arial" w:hAnsi="Arial" w:cs="Arial"/>
          <w:lang w:val="en-GB" w:eastAsia="de-DE"/>
        </w:rPr>
        <w:t>refroidissement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et la </w:t>
      </w:r>
      <w:proofErr w:type="spellStart"/>
      <w:r w:rsidRPr="0083387B">
        <w:rPr>
          <w:rFonts w:ascii="Arial" w:hAnsi="Arial" w:cs="Arial"/>
          <w:lang w:val="en-GB" w:eastAsia="de-DE"/>
        </w:rPr>
        <w:t>lubrification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sont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immédiatement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assurés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La </w:t>
      </w:r>
      <w:proofErr w:type="spellStart"/>
      <w:r w:rsidRPr="0083387B">
        <w:rPr>
          <w:rFonts w:ascii="Arial" w:hAnsi="Arial" w:cs="Arial"/>
          <w:lang w:val="en-GB" w:eastAsia="de-DE"/>
        </w:rPr>
        <w:t>sonde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liquide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intégrée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dans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le bloc de </w:t>
      </w:r>
      <w:proofErr w:type="spellStart"/>
      <w:r w:rsidRPr="0083387B">
        <w:rPr>
          <w:rFonts w:ascii="Arial" w:hAnsi="Arial" w:cs="Arial"/>
          <w:lang w:val="en-GB" w:eastAsia="de-DE"/>
        </w:rPr>
        <w:t>vannes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vérifie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en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permanence que le </w:t>
      </w:r>
      <w:proofErr w:type="spellStart"/>
      <w:r w:rsidRPr="0083387B">
        <w:rPr>
          <w:rFonts w:ascii="Arial" w:hAnsi="Arial" w:cs="Arial"/>
          <w:lang w:val="en-GB" w:eastAsia="de-DE"/>
        </w:rPr>
        <w:t>liquide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refroidissement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circule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toujours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lorsque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la </w:t>
      </w:r>
      <w:proofErr w:type="spellStart"/>
      <w:r w:rsidRPr="0083387B">
        <w:rPr>
          <w:rFonts w:ascii="Arial" w:hAnsi="Arial" w:cs="Arial"/>
          <w:lang w:val="en-GB" w:eastAsia="de-DE"/>
        </w:rPr>
        <w:t>pompe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fonctionne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</w:t>
      </w:r>
      <w:proofErr w:type="spellStart"/>
      <w:r w:rsidRPr="0083387B">
        <w:rPr>
          <w:rFonts w:ascii="Arial" w:hAnsi="Arial" w:cs="Arial"/>
          <w:lang w:val="en-GB" w:eastAsia="de-DE"/>
        </w:rPr>
        <w:t>En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l'absence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refroidissement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la </w:t>
      </w:r>
      <w:proofErr w:type="spellStart"/>
      <w:r w:rsidRPr="0083387B">
        <w:rPr>
          <w:rFonts w:ascii="Arial" w:hAnsi="Arial" w:cs="Arial"/>
          <w:lang w:val="en-GB" w:eastAsia="de-DE"/>
        </w:rPr>
        <w:t>pompe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83387B">
        <w:rPr>
          <w:rFonts w:ascii="Arial" w:hAnsi="Arial" w:cs="Arial"/>
          <w:lang w:val="en-GB" w:eastAsia="de-DE"/>
        </w:rPr>
        <w:t>est</w:t>
      </w:r>
      <w:proofErr w:type="spellEnd"/>
      <w:proofErr w:type="gram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arrêtée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pour </w:t>
      </w:r>
      <w:proofErr w:type="spellStart"/>
      <w:r w:rsidRPr="0083387B">
        <w:rPr>
          <w:rFonts w:ascii="Arial" w:hAnsi="Arial" w:cs="Arial"/>
          <w:lang w:val="en-GB" w:eastAsia="de-DE"/>
        </w:rPr>
        <w:t>éviter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d'endommager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la garniture </w:t>
      </w:r>
      <w:proofErr w:type="spellStart"/>
      <w:r w:rsidRPr="0083387B">
        <w:rPr>
          <w:rFonts w:ascii="Arial" w:hAnsi="Arial" w:cs="Arial"/>
          <w:lang w:val="en-GB" w:eastAsia="de-DE"/>
        </w:rPr>
        <w:t>d'arbre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et pour </w:t>
      </w:r>
      <w:proofErr w:type="spellStart"/>
      <w:r w:rsidRPr="0083387B">
        <w:rPr>
          <w:rFonts w:ascii="Arial" w:hAnsi="Arial" w:cs="Arial"/>
          <w:lang w:val="en-GB" w:eastAsia="de-DE"/>
        </w:rPr>
        <w:t>éviter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le </w:t>
      </w:r>
      <w:proofErr w:type="spellStart"/>
      <w:r w:rsidRPr="0083387B">
        <w:rPr>
          <w:rFonts w:ascii="Arial" w:hAnsi="Arial" w:cs="Arial"/>
          <w:lang w:val="en-GB" w:eastAsia="de-DE"/>
        </w:rPr>
        <w:t>grippage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Les </w:t>
      </w:r>
      <w:proofErr w:type="spellStart"/>
      <w:r w:rsidRPr="0083387B">
        <w:rPr>
          <w:rFonts w:ascii="Arial" w:hAnsi="Arial" w:cs="Arial"/>
          <w:lang w:val="en-GB" w:eastAsia="de-DE"/>
        </w:rPr>
        <w:t>fonctions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d'arrêt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gramStart"/>
      <w:r w:rsidRPr="0083387B">
        <w:rPr>
          <w:rFonts w:ascii="Arial" w:hAnsi="Arial" w:cs="Arial"/>
          <w:lang w:val="en-GB" w:eastAsia="de-DE"/>
        </w:rPr>
        <w:t>et</w:t>
      </w:r>
      <w:proofErr w:type="gram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mise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en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marche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peuvent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être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exécutées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par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la </w:t>
      </w:r>
      <w:proofErr w:type="spellStart"/>
      <w:r w:rsidRPr="0083387B">
        <w:rPr>
          <w:rFonts w:ascii="Arial" w:hAnsi="Arial" w:cs="Arial"/>
          <w:lang w:val="en-GB" w:eastAsia="de-DE"/>
        </w:rPr>
        <w:t>commande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la </w:t>
      </w:r>
      <w:proofErr w:type="spellStart"/>
      <w:r w:rsidRPr="0083387B">
        <w:rPr>
          <w:rFonts w:ascii="Arial" w:hAnsi="Arial" w:cs="Arial"/>
          <w:lang w:val="en-GB" w:eastAsia="de-DE"/>
        </w:rPr>
        <w:t>pompe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ou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peuvent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être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prises </w:t>
      </w:r>
      <w:proofErr w:type="spellStart"/>
      <w:r w:rsidRPr="0083387B">
        <w:rPr>
          <w:rFonts w:ascii="Arial" w:hAnsi="Arial" w:cs="Arial"/>
          <w:lang w:val="en-GB" w:eastAsia="de-DE"/>
        </w:rPr>
        <w:t>en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charge par un automate programmable.</w:t>
      </w:r>
    </w:p>
    <w:p w:rsidR="0083387B" w:rsidRP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</w:p>
    <w:p w:rsid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  <w:r w:rsidRPr="0083387B">
        <w:rPr>
          <w:rFonts w:ascii="Arial" w:hAnsi="Arial" w:cs="Arial"/>
          <w:lang w:val="en-GB" w:eastAsia="de-DE"/>
        </w:rPr>
        <w:lastRenderedPageBreak/>
        <w:t xml:space="preserve">Schubert &amp; </w:t>
      </w:r>
      <w:proofErr w:type="spellStart"/>
      <w:r w:rsidRPr="0083387B">
        <w:rPr>
          <w:rFonts w:ascii="Arial" w:hAnsi="Arial" w:cs="Arial"/>
          <w:lang w:val="en-GB" w:eastAsia="de-DE"/>
        </w:rPr>
        <w:t>Salzer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Control Systems propose </w:t>
      </w:r>
      <w:proofErr w:type="spellStart"/>
      <w:r w:rsidRPr="0083387B">
        <w:rPr>
          <w:rFonts w:ascii="Arial" w:hAnsi="Arial" w:cs="Arial"/>
          <w:lang w:val="en-GB" w:eastAsia="de-DE"/>
        </w:rPr>
        <w:t>ainsi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une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solution </w:t>
      </w:r>
      <w:proofErr w:type="spellStart"/>
      <w:r w:rsidRPr="0083387B">
        <w:rPr>
          <w:rFonts w:ascii="Arial" w:hAnsi="Arial" w:cs="Arial"/>
          <w:lang w:val="en-GB" w:eastAsia="de-DE"/>
        </w:rPr>
        <w:t>prête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à </w:t>
      </w:r>
      <w:proofErr w:type="spellStart"/>
      <w:r w:rsidRPr="0083387B">
        <w:rPr>
          <w:rFonts w:ascii="Arial" w:hAnsi="Arial" w:cs="Arial"/>
          <w:lang w:val="en-GB" w:eastAsia="de-DE"/>
        </w:rPr>
        <w:t>l'emploi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efficace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pour le </w:t>
      </w:r>
      <w:proofErr w:type="spellStart"/>
      <w:r w:rsidRPr="0083387B">
        <w:rPr>
          <w:rFonts w:ascii="Arial" w:hAnsi="Arial" w:cs="Arial"/>
          <w:lang w:val="en-GB" w:eastAsia="de-DE"/>
        </w:rPr>
        <w:t>refroidissement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gramStart"/>
      <w:r w:rsidRPr="0083387B">
        <w:rPr>
          <w:rFonts w:ascii="Arial" w:hAnsi="Arial" w:cs="Arial"/>
          <w:lang w:val="en-GB" w:eastAsia="de-DE"/>
        </w:rPr>
        <w:t>et</w:t>
      </w:r>
      <w:proofErr w:type="gramEnd"/>
      <w:r w:rsidRPr="0083387B">
        <w:rPr>
          <w:rFonts w:ascii="Arial" w:hAnsi="Arial" w:cs="Arial"/>
          <w:lang w:val="en-GB" w:eastAsia="de-DE"/>
        </w:rPr>
        <w:t xml:space="preserve"> la </w:t>
      </w:r>
      <w:proofErr w:type="spellStart"/>
      <w:r w:rsidRPr="0083387B">
        <w:rPr>
          <w:rFonts w:ascii="Arial" w:hAnsi="Arial" w:cs="Arial"/>
          <w:lang w:val="en-GB" w:eastAsia="de-DE"/>
        </w:rPr>
        <w:t>lubrification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des garnitures </w:t>
      </w:r>
      <w:proofErr w:type="spellStart"/>
      <w:r w:rsidRPr="0083387B">
        <w:rPr>
          <w:rFonts w:ascii="Arial" w:hAnsi="Arial" w:cs="Arial"/>
          <w:lang w:val="en-GB" w:eastAsia="de-DE"/>
        </w:rPr>
        <w:t>d'arbre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des </w:t>
      </w:r>
      <w:proofErr w:type="spellStart"/>
      <w:r w:rsidRPr="0083387B">
        <w:rPr>
          <w:rFonts w:ascii="Arial" w:hAnsi="Arial" w:cs="Arial"/>
          <w:lang w:val="en-GB" w:eastAsia="de-DE"/>
        </w:rPr>
        <w:t>pompes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centrifuges. Le nouveau </w:t>
      </w:r>
      <w:proofErr w:type="spellStart"/>
      <w:r w:rsidRPr="0083387B">
        <w:rPr>
          <w:rFonts w:ascii="Arial" w:hAnsi="Arial" w:cs="Arial"/>
          <w:lang w:val="en-GB" w:eastAsia="de-DE"/>
        </w:rPr>
        <w:t>système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qui assure </w:t>
      </w:r>
      <w:proofErr w:type="spellStart"/>
      <w:r w:rsidRPr="0083387B">
        <w:rPr>
          <w:rFonts w:ascii="Arial" w:hAnsi="Arial" w:cs="Arial"/>
          <w:lang w:val="en-GB" w:eastAsia="de-DE"/>
        </w:rPr>
        <w:t>une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solution </w:t>
      </w:r>
      <w:proofErr w:type="spellStart"/>
      <w:r w:rsidRPr="0083387B">
        <w:rPr>
          <w:rFonts w:ascii="Arial" w:hAnsi="Arial" w:cs="Arial"/>
          <w:lang w:val="en-GB" w:eastAsia="de-DE"/>
        </w:rPr>
        <w:t>complète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83387B">
        <w:rPr>
          <w:rFonts w:ascii="Arial" w:hAnsi="Arial" w:cs="Arial"/>
          <w:lang w:val="en-GB" w:eastAsia="de-DE"/>
        </w:rPr>
        <w:t>est</w:t>
      </w:r>
      <w:proofErr w:type="spellEnd"/>
      <w:proofErr w:type="gramEnd"/>
      <w:r w:rsidRPr="0083387B">
        <w:rPr>
          <w:rFonts w:ascii="Arial" w:hAnsi="Arial" w:cs="Arial"/>
          <w:lang w:val="en-GB" w:eastAsia="de-DE"/>
        </w:rPr>
        <w:t xml:space="preserve"> non </w:t>
      </w:r>
      <w:proofErr w:type="spellStart"/>
      <w:r w:rsidRPr="0083387B">
        <w:rPr>
          <w:rFonts w:ascii="Arial" w:hAnsi="Arial" w:cs="Arial"/>
          <w:lang w:val="en-GB" w:eastAsia="de-DE"/>
        </w:rPr>
        <w:t>seulement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plus compact que les solutions </w:t>
      </w:r>
      <w:proofErr w:type="spellStart"/>
      <w:r w:rsidRPr="0083387B">
        <w:rPr>
          <w:rFonts w:ascii="Arial" w:hAnsi="Arial" w:cs="Arial"/>
          <w:lang w:val="en-GB" w:eastAsia="de-DE"/>
        </w:rPr>
        <w:t>couramment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utilisées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dans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l'industrie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</w:t>
      </w:r>
      <w:proofErr w:type="spellStart"/>
      <w:r w:rsidRPr="0083387B">
        <w:rPr>
          <w:rFonts w:ascii="Arial" w:hAnsi="Arial" w:cs="Arial"/>
          <w:lang w:val="en-GB" w:eastAsia="de-DE"/>
        </w:rPr>
        <w:t>mais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il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réduit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aussi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considérablement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les </w:t>
      </w:r>
      <w:proofErr w:type="spellStart"/>
      <w:r w:rsidRPr="0083387B">
        <w:rPr>
          <w:rFonts w:ascii="Arial" w:hAnsi="Arial" w:cs="Arial"/>
          <w:lang w:val="en-GB" w:eastAsia="de-DE"/>
        </w:rPr>
        <w:t>couts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d'installation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et de maintenance. </w:t>
      </w:r>
    </w:p>
    <w:p w:rsidR="0083387B" w:rsidRP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</w:p>
    <w:p w:rsidR="00A26D52" w:rsidRPr="0083387B" w:rsidRDefault="0083387B" w:rsidP="0083387B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  <w:r w:rsidRPr="0083387B">
        <w:rPr>
          <w:rFonts w:ascii="Arial" w:hAnsi="Arial" w:cs="Arial"/>
          <w:lang w:val="en-GB" w:eastAsia="de-DE"/>
        </w:rPr>
        <w:t xml:space="preserve">Le bloc de </w:t>
      </w:r>
      <w:proofErr w:type="spellStart"/>
      <w:r w:rsidRPr="0083387B">
        <w:rPr>
          <w:rFonts w:ascii="Arial" w:hAnsi="Arial" w:cs="Arial"/>
          <w:lang w:val="en-GB" w:eastAsia="de-DE"/>
        </w:rPr>
        <w:t>vannes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proofErr w:type="gramStart"/>
      <w:r w:rsidRPr="0083387B">
        <w:rPr>
          <w:rFonts w:ascii="Arial" w:hAnsi="Arial" w:cs="Arial"/>
          <w:lang w:val="en-GB" w:eastAsia="de-DE"/>
        </w:rPr>
        <w:t>est</w:t>
      </w:r>
      <w:proofErr w:type="spellEnd"/>
      <w:proofErr w:type="gram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adapté</w:t>
      </w:r>
      <w:proofErr w:type="spellEnd"/>
      <w:r w:rsidRPr="0083387B">
        <w:rPr>
          <w:rFonts w:ascii="Arial" w:hAnsi="Arial" w:cs="Arial"/>
          <w:lang w:val="en-GB" w:eastAsia="de-DE"/>
        </w:rPr>
        <w:t xml:space="preserve"> à </w:t>
      </w:r>
      <w:proofErr w:type="spellStart"/>
      <w:r w:rsidRPr="0083387B">
        <w:rPr>
          <w:rFonts w:ascii="Arial" w:hAnsi="Arial" w:cs="Arial"/>
          <w:lang w:val="en-GB" w:eastAsia="de-DE"/>
        </w:rPr>
        <w:t>toutes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les </w:t>
      </w:r>
      <w:proofErr w:type="spellStart"/>
      <w:r w:rsidRPr="0083387B">
        <w:rPr>
          <w:rFonts w:ascii="Arial" w:hAnsi="Arial" w:cs="Arial"/>
          <w:lang w:val="en-GB" w:eastAsia="de-DE"/>
        </w:rPr>
        <w:t>pompes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centrifuges </w:t>
      </w:r>
      <w:proofErr w:type="spellStart"/>
      <w:r w:rsidRPr="0083387B">
        <w:rPr>
          <w:rFonts w:ascii="Arial" w:hAnsi="Arial" w:cs="Arial"/>
          <w:lang w:val="en-GB" w:eastAsia="de-DE"/>
        </w:rPr>
        <w:t>dans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la </w:t>
      </w:r>
      <w:proofErr w:type="spellStart"/>
      <w:r w:rsidRPr="0083387B">
        <w:rPr>
          <w:rFonts w:ascii="Arial" w:hAnsi="Arial" w:cs="Arial"/>
          <w:lang w:val="en-GB" w:eastAsia="de-DE"/>
        </w:rPr>
        <w:t>plage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performances </w:t>
      </w:r>
      <w:proofErr w:type="spellStart"/>
      <w:r w:rsidRPr="0083387B">
        <w:rPr>
          <w:rFonts w:ascii="Arial" w:hAnsi="Arial" w:cs="Arial"/>
          <w:lang w:val="en-GB" w:eastAsia="de-DE"/>
        </w:rPr>
        <w:t>spécifiée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</w:t>
      </w:r>
      <w:proofErr w:type="spellStart"/>
      <w:r w:rsidRPr="0083387B">
        <w:rPr>
          <w:rFonts w:ascii="Arial" w:hAnsi="Arial" w:cs="Arial"/>
          <w:lang w:val="en-GB" w:eastAsia="de-DE"/>
        </w:rPr>
        <w:t>En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outre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des </w:t>
      </w:r>
      <w:proofErr w:type="spellStart"/>
      <w:r w:rsidRPr="0083387B">
        <w:rPr>
          <w:rFonts w:ascii="Arial" w:hAnsi="Arial" w:cs="Arial"/>
          <w:lang w:val="en-GB" w:eastAsia="de-DE"/>
        </w:rPr>
        <w:t>manomètres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des </w:t>
      </w:r>
      <w:proofErr w:type="spellStart"/>
      <w:r w:rsidRPr="0083387B">
        <w:rPr>
          <w:rFonts w:ascii="Arial" w:hAnsi="Arial" w:cs="Arial"/>
          <w:lang w:val="en-GB" w:eastAsia="de-DE"/>
        </w:rPr>
        <w:t>capteurs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pression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gramStart"/>
      <w:r w:rsidRPr="0083387B">
        <w:rPr>
          <w:rFonts w:ascii="Arial" w:hAnsi="Arial" w:cs="Arial"/>
          <w:lang w:val="en-GB" w:eastAsia="de-DE"/>
        </w:rPr>
        <w:t>et</w:t>
      </w:r>
      <w:proofErr w:type="gramEnd"/>
      <w:r w:rsidRPr="0083387B">
        <w:rPr>
          <w:rFonts w:ascii="Arial" w:hAnsi="Arial" w:cs="Arial"/>
          <w:lang w:val="en-GB" w:eastAsia="de-DE"/>
        </w:rPr>
        <w:t xml:space="preserve"> de </w:t>
      </w:r>
      <w:proofErr w:type="spellStart"/>
      <w:r w:rsidRPr="0083387B">
        <w:rPr>
          <w:rFonts w:ascii="Arial" w:hAnsi="Arial" w:cs="Arial"/>
          <w:lang w:val="en-GB" w:eastAsia="de-DE"/>
        </w:rPr>
        <w:t>température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par </w:t>
      </w:r>
      <w:proofErr w:type="spellStart"/>
      <w:r w:rsidRPr="0083387B">
        <w:rPr>
          <w:rFonts w:ascii="Arial" w:hAnsi="Arial" w:cs="Arial"/>
          <w:lang w:val="en-GB" w:eastAsia="de-DE"/>
        </w:rPr>
        <w:t>exemple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</w:t>
      </w:r>
      <w:proofErr w:type="spellStart"/>
      <w:r w:rsidRPr="0083387B">
        <w:rPr>
          <w:rFonts w:ascii="Arial" w:hAnsi="Arial" w:cs="Arial"/>
          <w:lang w:val="en-GB" w:eastAsia="de-DE"/>
        </w:rPr>
        <w:t>peuvent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être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connectés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pour </w:t>
      </w:r>
      <w:proofErr w:type="spellStart"/>
      <w:r w:rsidRPr="0083387B">
        <w:rPr>
          <w:rFonts w:ascii="Arial" w:hAnsi="Arial" w:cs="Arial"/>
          <w:lang w:val="en-GB" w:eastAsia="de-DE"/>
        </w:rPr>
        <w:t>compléter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ce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système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</w:t>
      </w:r>
      <w:proofErr w:type="spellStart"/>
      <w:r w:rsidRPr="0083387B">
        <w:rPr>
          <w:rFonts w:ascii="Arial" w:hAnsi="Arial" w:cs="Arial"/>
          <w:lang w:val="en-GB" w:eastAsia="de-DE"/>
        </w:rPr>
        <w:t>D'autres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options </w:t>
      </w:r>
      <w:proofErr w:type="gramStart"/>
      <w:r w:rsidRPr="0083387B">
        <w:rPr>
          <w:rFonts w:ascii="Arial" w:hAnsi="Arial" w:cs="Arial"/>
          <w:lang w:val="en-GB" w:eastAsia="de-DE"/>
        </w:rPr>
        <w:t>et</w:t>
      </w:r>
      <w:proofErr w:type="gramEnd"/>
      <w:r w:rsidRPr="0083387B">
        <w:rPr>
          <w:rFonts w:ascii="Arial" w:hAnsi="Arial" w:cs="Arial"/>
          <w:lang w:val="en-GB" w:eastAsia="de-DE"/>
        </w:rPr>
        <w:t xml:space="preserve"> des solutions </w:t>
      </w:r>
      <w:proofErr w:type="spellStart"/>
      <w:r w:rsidRPr="0083387B">
        <w:rPr>
          <w:rFonts w:ascii="Arial" w:hAnsi="Arial" w:cs="Arial"/>
          <w:lang w:val="en-GB" w:eastAsia="de-DE"/>
        </w:rPr>
        <w:t>intelligentes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, </w:t>
      </w:r>
      <w:proofErr w:type="spellStart"/>
      <w:r w:rsidRPr="0083387B">
        <w:rPr>
          <w:rFonts w:ascii="Arial" w:hAnsi="Arial" w:cs="Arial"/>
          <w:lang w:val="en-GB" w:eastAsia="de-DE"/>
        </w:rPr>
        <w:t>spécifiques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et </w:t>
      </w:r>
      <w:proofErr w:type="spellStart"/>
      <w:r w:rsidRPr="0083387B">
        <w:rPr>
          <w:rFonts w:ascii="Arial" w:hAnsi="Arial" w:cs="Arial"/>
          <w:lang w:val="en-GB" w:eastAsia="de-DE"/>
        </w:rPr>
        <w:t>modulaires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sont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également</w:t>
      </w:r>
      <w:proofErr w:type="spellEnd"/>
      <w:r w:rsidRPr="0083387B">
        <w:rPr>
          <w:rFonts w:ascii="Arial" w:hAnsi="Arial" w:cs="Arial"/>
          <w:lang w:val="en-GB" w:eastAsia="de-DE"/>
        </w:rPr>
        <w:t xml:space="preserve"> </w:t>
      </w:r>
      <w:proofErr w:type="spellStart"/>
      <w:r w:rsidRPr="0083387B">
        <w:rPr>
          <w:rFonts w:ascii="Arial" w:hAnsi="Arial" w:cs="Arial"/>
          <w:lang w:val="en-GB" w:eastAsia="de-DE"/>
        </w:rPr>
        <w:t>possibles</w:t>
      </w:r>
      <w:proofErr w:type="spellEnd"/>
      <w:r w:rsidRPr="0083387B">
        <w:rPr>
          <w:rFonts w:ascii="Arial" w:hAnsi="Arial" w:cs="Arial"/>
          <w:lang w:val="en-GB" w:eastAsia="de-DE"/>
        </w:rPr>
        <w:t xml:space="preserve">.  </w:t>
      </w:r>
      <w:r w:rsidR="00174E1E" w:rsidRPr="0083387B">
        <w:rPr>
          <w:rFonts w:ascii="Arial" w:hAnsi="Arial" w:cs="Arial"/>
          <w:lang w:val="en-GB" w:eastAsia="de-DE"/>
        </w:rPr>
        <w:t xml:space="preserve">       </w:t>
      </w:r>
    </w:p>
    <w:p w:rsidR="00A26D52" w:rsidRPr="0083387B" w:rsidRDefault="00A26D52" w:rsidP="009661DC">
      <w:pPr>
        <w:spacing w:after="0" w:line="360" w:lineRule="auto"/>
        <w:ind w:right="2267"/>
        <w:jc w:val="both"/>
        <w:rPr>
          <w:rFonts w:ascii="Arial" w:hAnsi="Arial" w:cs="Arial"/>
          <w:lang w:val="en-GB" w:eastAsia="de-DE"/>
        </w:rPr>
      </w:pPr>
    </w:p>
    <w:p w:rsidR="00A26D52" w:rsidRPr="0083387B" w:rsidRDefault="00A26D52" w:rsidP="00A94946">
      <w:pPr>
        <w:spacing w:after="0" w:line="240" w:lineRule="auto"/>
        <w:ind w:right="2267"/>
        <w:jc w:val="both"/>
        <w:rPr>
          <w:rFonts w:ascii="Arial" w:hAnsi="Arial" w:cs="Arial"/>
          <w:sz w:val="16"/>
          <w:szCs w:val="16"/>
          <w:lang w:val="en-GB" w:eastAsia="de-DE"/>
        </w:rPr>
      </w:pPr>
    </w:p>
    <w:p w:rsidR="00A26D52" w:rsidRPr="0083387B" w:rsidRDefault="00A26D52" w:rsidP="00A94946">
      <w:pPr>
        <w:spacing w:after="0" w:line="240" w:lineRule="auto"/>
        <w:ind w:right="2267"/>
        <w:jc w:val="both"/>
        <w:rPr>
          <w:rFonts w:ascii="Arial" w:hAnsi="Arial" w:cs="Arial"/>
          <w:sz w:val="16"/>
          <w:szCs w:val="16"/>
          <w:lang w:val="en-GB" w:eastAsia="de-DE"/>
        </w:rPr>
      </w:pPr>
    </w:p>
    <w:p w:rsidR="00A26D52" w:rsidRPr="0083387B" w:rsidRDefault="00A26D52" w:rsidP="00A94946">
      <w:pPr>
        <w:spacing w:after="0" w:line="240" w:lineRule="auto"/>
        <w:ind w:right="2267"/>
        <w:jc w:val="both"/>
        <w:rPr>
          <w:rFonts w:ascii="Arial" w:hAnsi="Arial" w:cs="Arial"/>
          <w:sz w:val="12"/>
          <w:szCs w:val="12"/>
          <w:lang w:val="en-GB" w:eastAsia="de-DE"/>
        </w:rPr>
      </w:pPr>
    </w:p>
    <w:p w:rsidR="00C77C0A" w:rsidRPr="0083387B" w:rsidRDefault="0083387B" w:rsidP="00C77C0A">
      <w:pPr>
        <w:spacing w:after="0" w:line="240" w:lineRule="auto"/>
        <w:ind w:right="3117"/>
        <w:jc w:val="both"/>
        <w:rPr>
          <w:rFonts w:ascii="Arial" w:hAnsi="Arial"/>
          <w:b/>
          <w:sz w:val="18"/>
          <w:szCs w:val="20"/>
          <w:lang w:val="en-GB" w:eastAsia="de-DE"/>
        </w:rPr>
      </w:pPr>
      <w:r w:rsidRPr="0083387B">
        <w:rPr>
          <w:rFonts w:ascii="Arial" w:hAnsi="Arial"/>
          <w:b/>
          <w:sz w:val="18"/>
          <w:szCs w:val="20"/>
          <w:lang w:val="en-GB" w:eastAsia="de-DE"/>
        </w:rPr>
        <w:t>C</w:t>
      </w:r>
      <w:r w:rsidR="00174E1E" w:rsidRPr="0083387B">
        <w:rPr>
          <w:rFonts w:ascii="Arial" w:hAnsi="Arial"/>
          <w:b/>
          <w:sz w:val="18"/>
          <w:szCs w:val="20"/>
          <w:lang w:val="en-GB" w:eastAsia="de-DE"/>
        </w:rPr>
        <w:t>onta</w:t>
      </w:r>
      <w:r w:rsidRPr="0083387B">
        <w:rPr>
          <w:rFonts w:ascii="Arial" w:hAnsi="Arial"/>
          <w:b/>
          <w:sz w:val="18"/>
          <w:szCs w:val="20"/>
          <w:lang w:val="en-GB" w:eastAsia="de-DE"/>
        </w:rPr>
        <w:t>c</w:t>
      </w:r>
      <w:r w:rsidR="00C77C0A" w:rsidRPr="0083387B">
        <w:rPr>
          <w:rFonts w:ascii="Arial" w:hAnsi="Arial"/>
          <w:b/>
          <w:sz w:val="18"/>
          <w:szCs w:val="20"/>
          <w:lang w:val="en-GB" w:eastAsia="de-DE"/>
        </w:rPr>
        <w:t>t:</w:t>
      </w:r>
    </w:p>
    <w:p w:rsidR="00C77C0A" w:rsidRPr="0083387B" w:rsidRDefault="00C77C0A" w:rsidP="00C77C0A">
      <w:pPr>
        <w:spacing w:after="0" w:line="240" w:lineRule="auto"/>
        <w:ind w:right="3117"/>
        <w:jc w:val="both"/>
        <w:rPr>
          <w:rFonts w:ascii="Arial" w:hAnsi="Arial"/>
          <w:sz w:val="18"/>
          <w:szCs w:val="20"/>
          <w:lang w:eastAsia="de-DE"/>
        </w:rPr>
      </w:pPr>
      <w:r w:rsidRPr="0083387B">
        <w:rPr>
          <w:rFonts w:ascii="Arial" w:hAnsi="Arial"/>
          <w:sz w:val="18"/>
          <w:szCs w:val="20"/>
          <w:lang w:eastAsia="de-DE"/>
        </w:rPr>
        <w:t>Schubert &amp; Salzer Control Systems GmbH</w:t>
      </w:r>
    </w:p>
    <w:p w:rsidR="00C77C0A" w:rsidRPr="00A94946" w:rsidRDefault="00C77C0A" w:rsidP="00C77C0A">
      <w:pPr>
        <w:spacing w:after="0" w:line="240" w:lineRule="auto"/>
        <w:ind w:right="3117"/>
        <w:jc w:val="both"/>
        <w:rPr>
          <w:rFonts w:ascii="Arial" w:hAnsi="Arial"/>
          <w:sz w:val="18"/>
          <w:szCs w:val="20"/>
          <w:lang w:eastAsia="de-DE"/>
        </w:rPr>
      </w:pPr>
      <w:r w:rsidRPr="00A94946">
        <w:rPr>
          <w:rFonts w:ascii="Arial" w:hAnsi="Arial"/>
          <w:sz w:val="18"/>
          <w:szCs w:val="20"/>
          <w:lang w:eastAsia="de-DE"/>
        </w:rPr>
        <w:t>Postfach 10 09 07, D-85009 Ingolstadt</w:t>
      </w:r>
      <w:r w:rsidR="0083387B">
        <w:rPr>
          <w:rFonts w:ascii="Arial" w:hAnsi="Arial"/>
          <w:sz w:val="18"/>
          <w:szCs w:val="20"/>
          <w:lang w:eastAsia="de-DE"/>
        </w:rPr>
        <w:t xml:space="preserve">, </w:t>
      </w:r>
      <w:proofErr w:type="spellStart"/>
      <w:r w:rsidR="0083387B">
        <w:rPr>
          <w:rFonts w:ascii="Arial" w:hAnsi="Arial"/>
          <w:sz w:val="18"/>
          <w:szCs w:val="20"/>
          <w:lang w:eastAsia="de-DE"/>
        </w:rPr>
        <w:t>Allemagne</w:t>
      </w:r>
      <w:proofErr w:type="spellEnd"/>
    </w:p>
    <w:p w:rsidR="00C77C0A" w:rsidRPr="0083387B" w:rsidRDefault="00C77C0A" w:rsidP="00C77C0A">
      <w:pPr>
        <w:spacing w:after="0" w:line="240" w:lineRule="auto"/>
        <w:ind w:right="3117"/>
        <w:jc w:val="both"/>
        <w:rPr>
          <w:rFonts w:ascii="Arial" w:hAnsi="Arial"/>
          <w:sz w:val="18"/>
          <w:szCs w:val="20"/>
          <w:lang w:eastAsia="de-DE"/>
        </w:rPr>
      </w:pPr>
      <w:proofErr w:type="spellStart"/>
      <w:r w:rsidRPr="0083387B">
        <w:rPr>
          <w:rFonts w:ascii="Arial" w:hAnsi="Arial"/>
          <w:sz w:val="18"/>
          <w:szCs w:val="20"/>
          <w:lang w:eastAsia="de-DE"/>
        </w:rPr>
        <w:t>T</w:t>
      </w:r>
      <w:r w:rsidR="0083387B">
        <w:rPr>
          <w:rFonts w:ascii="Arial" w:hAnsi="Arial"/>
          <w:sz w:val="18"/>
          <w:szCs w:val="20"/>
          <w:lang w:eastAsia="de-DE"/>
        </w:rPr>
        <w:t>é</w:t>
      </w:r>
      <w:r w:rsidRPr="0083387B">
        <w:rPr>
          <w:rFonts w:ascii="Arial" w:hAnsi="Arial"/>
          <w:sz w:val="18"/>
          <w:szCs w:val="20"/>
          <w:lang w:eastAsia="de-DE"/>
        </w:rPr>
        <w:t>l</w:t>
      </w:r>
      <w:proofErr w:type="spellEnd"/>
      <w:r w:rsidR="0083387B">
        <w:rPr>
          <w:rFonts w:ascii="Arial" w:hAnsi="Arial"/>
          <w:sz w:val="18"/>
          <w:szCs w:val="20"/>
          <w:lang w:eastAsia="de-DE"/>
        </w:rPr>
        <w:t>.</w:t>
      </w:r>
      <w:r w:rsidRPr="0083387B">
        <w:rPr>
          <w:rFonts w:ascii="Arial" w:hAnsi="Arial"/>
          <w:sz w:val="18"/>
          <w:szCs w:val="20"/>
          <w:lang w:eastAsia="de-DE"/>
        </w:rPr>
        <w:t>: +49 (0)841 / 96 54-0</w:t>
      </w:r>
    </w:p>
    <w:p w:rsidR="00C77C0A" w:rsidRPr="0083387B" w:rsidRDefault="00C77C0A" w:rsidP="00C77C0A">
      <w:pPr>
        <w:spacing w:after="0" w:line="240" w:lineRule="auto"/>
        <w:ind w:right="3117"/>
        <w:jc w:val="both"/>
        <w:rPr>
          <w:rFonts w:ascii="Arial" w:hAnsi="Arial"/>
          <w:sz w:val="18"/>
          <w:szCs w:val="20"/>
          <w:lang w:eastAsia="de-DE"/>
        </w:rPr>
      </w:pPr>
      <w:r w:rsidRPr="0083387B">
        <w:rPr>
          <w:rFonts w:ascii="Arial" w:hAnsi="Arial"/>
          <w:sz w:val="18"/>
          <w:szCs w:val="20"/>
          <w:lang w:eastAsia="de-DE"/>
        </w:rPr>
        <w:t xml:space="preserve">Info.cs@schubert-salzer.com </w:t>
      </w:r>
    </w:p>
    <w:p w:rsidR="00C77C0A" w:rsidRPr="00EB55BB" w:rsidRDefault="00C77C0A" w:rsidP="00C77C0A">
      <w:pPr>
        <w:spacing w:after="0" w:line="240" w:lineRule="auto"/>
        <w:rPr>
          <w:rFonts w:ascii="Times New Roman" w:hAnsi="Times New Roman"/>
          <w:sz w:val="20"/>
          <w:szCs w:val="20"/>
          <w:lang w:val="en-GB" w:eastAsia="de-DE"/>
        </w:rPr>
      </w:pPr>
      <w:r w:rsidRPr="00EB55BB">
        <w:rPr>
          <w:rFonts w:ascii="Arial" w:hAnsi="Arial"/>
          <w:sz w:val="18"/>
          <w:szCs w:val="20"/>
          <w:lang w:val="en-GB" w:eastAsia="de-DE"/>
        </w:rPr>
        <w:t xml:space="preserve">www.schubert-salzer.com </w:t>
      </w:r>
    </w:p>
    <w:p w:rsidR="00A26D52" w:rsidRPr="00EB55BB" w:rsidRDefault="00A26D52">
      <w:pPr>
        <w:rPr>
          <w:rFonts w:cs="Times New Roman"/>
          <w:lang w:val="en-GB"/>
        </w:rPr>
      </w:pPr>
    </w:p>
    <w:sectPr w:rsidR="00A26D52" w:rsidRPr="00EB55BB" w:rsidSect="00DA6A8B">
      <w:headerReference w:type="first" r:id="rId7"/>
      <w:pgSz w:w="11907" w:h="16840"/>
      <w:pgMar w:top="1701" w:right="1418" w:bottom="1418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52" w:rsidRDefault="00A26D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6D52" w:rsidRDefault="00A26D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52" w:rsidRDefault="00A26D5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6D52" w:rsidRDefault="00A26D5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52" w:rsidRDefault="005A0B6A" w:rsidP="009B6AA6">
    <w:pPr>
      <w:pStyle w:val="Kopfzeile"/>
      <w:jc w:val="right"/>
    </w:pPr>
    <w:r>
      <w:rPr>
        <w:noProof/>
      </w:rPr>
      <w:drawing>
        <wp:inline distT="0" distB="0" distL="0" distR="0">
          <wp:extent cx="2108200" cy="901700"/>
          <wp:effectExtent l="0" t="0" r="0" b="0"/>
          <wp:docPr id="1" name="Grafik 1" descr="Schubert-Salze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ubert-Salze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620"/>
    <w:multiLevelType w:val="singleLevel"/>
    <w:tmpl w:val="CF2A3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C535D66"/>
    <w:multiLevelType w:val="hybridMultilevel"/>
    <w:tmpl w:val="A1B87D54"/>
    <w:lvl w:ilvl="0" w:tplc="61E051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5D28A8"/>
    <w:multiLevelType w:val="hybridMultilevel"/>
    <w:tmpl w:val="EC1C6D90"/>
    <w:lvl w:ilvl="0" w:tplc="61E051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EE560D"/>
    <w:multiLevelType w:val="hybridMultilevel"/>
    <w:tmpl w:val="EA8477DA"/>
    <w:lvl w:ilvl="0" w:tplc="61E0516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46"/>
    <w:rsid w:val="00042F7B"/>
    <w:rsid w:val="00105C19"/>
    <w:rsid w:val="001154C9"/>
    <w:rsid w:val="001675A9"/>
    <w:rsid w:val="00174E1E"/>
    <w:rsid w:val="00193B32"/>
    <w:rsid w:val="001C2679"/>
    <w:rsid w:val="001D78F2"/>
    <w:rsid w:val="00206EE5"/>
    <w:rsid w:val="00216BAB"/>
    <w:rsid w:val="002533A7"/>
    <w:rsid w:val="00294D02"/>
    <w:rsid w:val="002C1A69"/>
    <w:rsid w:val="002C4766"/>
    <w:rsid w:val="002D1038"/>
    <w:rsid w:val="002F6BC9"/>
    <w:rsid w:val="00307FF8"/>
    <w:rsid w:val="003B61F6"/>
    <w:rsid w:val="00410CB9"/>
    <w:rsid w:val="0048702F"/>
    <w:rsid w:val="004A02F0"/>
    <w:rsid w:val="004A6F7F"/>
    <w:rsid w:val="00570A1D"/>
    <w:rsid w:val="005A0B6A"/>
    <w:rsid w:val="005B0F88"/>
    <w:rsid w:val="005C22A4"/>
    <w:rsid w:val="005E755F"/>
    <w:rsid w:val="00642F08"/>
    <w:rsid w:val="00680D9E"/>
    <w:rsid w:val="006D6316"/>
    <w:rsid w:val="006F03E4"/>
    <w:rsid w:val="00700DFB"/>
    <w:rsid w:val="00711D20"/>
    <w:rsid w:val="00745279"/>
    <w:rsid w:val="007A3435"/>
    <w:rsid w:val="007E4EC0"/>
    <w:rsid w:val="007F06B6"/>
    <w:rsid w:val="00821A7C"/>
    <w:rsid w:val="0083387B"/>
    <w:rsid w:val="00846E41"/>
    <w:rsid w:val="008812E0"/>
    <w:rsid w:val="008F569D"/>
    <w:rsid w:val="0092700E"/>
    <w:rsid w:val="009471E8"/>
    <w:rsid w:val="009661DC"/>
    <w:rsid w:val="009679F6"/>
    <w:rsid w:val="009B6AA6"/>
    <w:rsid w:val="009E71DB"/>
    <w:rsid w:val="009F1722"/>
    <w:rsid w:val="00A02B60"/>
    <w:rsid w:val="00A1177D"/>
    <w:rsid w:val="00A26D52"/>
    <w:rsid w:val="00A3743B"/>
    <w:rsid w:val="00A94946"/>
    <w:rsid w:val="00AC69E0"/>
    <w:rsid w:val="00B22C65"/>
    <w:rsid w:val="00B76AB2"/>
    <w:rsid w:val="00BA05DE"/>
    <w:rsid w:val="00BB1BB2"/>
    <w:rsid w:val="00BC4F01"/>
    <w:rsid w:val="00BC7BB1"/>
    <w:rsid w:val="00BD33B7"/>
    <w:rsid w:val="00C56898"/>
    <w:rsid w:val="00C726A9"/>
    <w:rsid w:val="00C77C0A"/>
    <w:rsid w:val="00C80A92"/>
    <w:rsid w:val="00C844EB"/>
    <w:rsid w:val="00CE632F"/>
    <w:rsid w:val="00CF1792"/>
    <w:rsid w:val="00D03A3E"/>
    <w:rsid w:val="00D24759"/>
    <w:rsid w:val="00D65907"/>
    <w:rsid w:val="00D664BD"/>
    <w:rsid w:val="00DA6A8B"/>
    <w:rsid w:val="00DF2F9A"/>
    <w:rsid w:val="00E10597"/>
    <w:rsid w:val="00E556B2"/>
    <w:rsid w:val="00E656AE"/>
    <w:rsid w:val="00EA4D32"/>
    <w:rsid w:val="00EB55BB"/>
    <w:rsid w:val="00ED1093"/>
    <w:rsid w:val="00ED351A"/>
    <w:rsid w:val="00EE417D"/>
    <w:rsid w:val="00F02109"/>
    <w:rsid w:val="00F141D1"/>
    <w:rsid w:val="00F22A63"/>
    <w:rsid w:val="00F465EC"/>
    <w:rsid w:val="00F65F79"/>
    <w:rsid w:val="00F80F19"/>
    <w:rsid w:val="00FC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092E6C61"/>
  <w15:docId w15:val="{CF387666-259F-437E-92F3-D76D91EB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6A8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94946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94946"/>
    <w:rPr>
      <w:rFonts w:ascii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9B6A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741C1"/>
    <w:rPr>
      <w:rFonts w:eastAsia="Times New Roman"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41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0C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Schubert &amp; Salzer Firmengruppe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Grubitz, Ronny</dc:creator>
  <cp:keywords/>
  <dc:description/>
  <cp:lastModifiedBy>Caravita, Sandro</cp:lastModifiedBy>
  <cp:revision>4</cp:revision>
  <cp:lastPrinted>2018-01-18T10:57:00Z</cp:lastPrinted>
  <dcterms:created xsi:type="dcterms:W3CDTF">2020-10-23T08:20:00Z</dcterms:created>
  <dcterms:modified xsi:type="dcterms:W3CDTF">2020-10-23T08:24:00Z</dcterms:modified>
</cp:coreProperties>
</file>